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716" w:rsidRPr="006407A5" w:rsidRDefault="00855716" w:rsidP="00855716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55716" w:rsidRPr="006407A5" w:rsidRDefault="00855716" w:rsidP="00855716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0" w:name="dd289b92-99f9-4ffd-99dd-b96878a7ef5e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Московской области</w:t>
      </w:r>
      <w:bookmarkEnd w:id="0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55716" w:rsidRPr="006407A5" w:rsidRDefault="00855716" w:rsidP="00855716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1" w:name="f4ab8d2b-cc63-4162-8637-082a4aa72642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Управление образования администрации Одинцовского городского округа Московской области</w:t>
      </w:r>
      <w:bookmarkEnd w:id="1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55716" w:rsidRDefault="00855716" w:rsidP="00855716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Лесногородская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Одинцовского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района</w:t>
      </w:r>
      <w:proofErr w:type="spellEnd"/>
    </w:p>
    <w:p w:rsidR="00855716" w:rsidRDefault="00855716" w:rsidP="00855716">
      <w:pPr>
        <w:spacing w:after="0"/>
        <w:ind w:left="120"/>
        <w:jc w:val="center"/>
        <w:rPr>
          <w:rFonts w:ascii="Times New Roman" w:hAnsi="Times New Roman"/>
          <w:sz w:val="24"/>
          <w:szCs w:val="24"/>
        </w:rPr>
      </w:pPr>
    </w:p>
    <w:p w:rsidR="00855716" w:rsidRDefault="00855716" w:rsidP="0085571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855716" w:rsidRDefault="00855716" w:rsidP="00855716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tbl>
      <w:tblPr>
        <w:tblW w:w="13041" w:type="dxa"/>
        <w:tblLayout w:type="fixed"/>
        <w:tblLook w:val="04A0" w:firstRow="1" w:lastRow="0" w:firstColumn="1" w:lastColumn="0" w:noHBand="0" w:noVBand="1"/>
      </w:tblPr>
      <w:tblGrid>
        <w:gridCol w:w="4641"/>
        <w:gridCol w:w="4534"/>
        <w:gridCol w:w="3866"/>
      </w:tblGrid>
      <w:tr w:rsidR="00855716" w:rsidRPr="00855716" w:rsidTr="00FD21C6">
        <w:trPr>
          <w:trHeight w:val="1641"/>
        </w:trPr>
        <w:tc>
          <w:tcPr>
            <w:tcW w:w="4641" w:type="dxa"/>
          </w:tcPr>
          <w:p w:rsidR="00855716" w:rsidRDefault="00855716" w:rsidP="00FD21C6">
            <w:pPr>
              <w:widowControl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55716" w:rsidRDefault="00855716" w:rsidP="00FD21C6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855716" w:rsidRDefault="00855716" w:rsidP="00FD21C6">
            <w:pPr>
              <w:widowControl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«30» августа</w:t>
            </w:r>
            <w:r w:rsidRPr="0085571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855716" w:rsidRDefault="00855716" w:rsidP="00FD21C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   </w:t>
            </w:r>
          </w:p>
          <w:p w:rsidR="00855716" w:rsidRDefault="00855716" w:rsidP="00FD21C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Макейкина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Ю.И.</w:t>
            </w:r>
          </w:p>
          <w:p w:rsidR="00855716" w:rsidRPr="006407A5" w:rsidRDefault="00855716" w:rsidP="00FD21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534" w:type="dxa"/>
          </w:tcPr>
          <w:p w:rsidR="00855716" w:rsidRDefault="00855716" w:rsidP="00FD21C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55716" w:rsidRDefault="00855716" w:rsidP="00FD21C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:rsidR="00855716" w:rsidRDefault="00855716" w:rsidP="00FD21C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      </w:t>
            </w:r>
          </w:p>
          <w:p w:rsidR="00855716" w:rsidRDefault="00855716" w:rsidP="00FD21C6">
            <w:pPr>
              <w:widowControl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Горбунов А.М</w:t>
            </w:r>
          </w:p>
          <w:p w:rsidR="00855716" w:rsidRDefault="00855716" w:rsidP="00FD21C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66" w:type="dxa"/>
          </w:tcPr>
          <w:p w:rsidR="00855716" w:rsidRDefault="00855716" w:rsidP="00FD21C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55716" w:rsidRDefault="00855716" w:rsidP="00FD21C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Директор                                                                                                                            ________________      </w:t>
            </w:r>
          </w:p>
          <w:p w:rsidR="00855716" w:rsidRDefault="00855716" w:rsidP="00FD21C6">
            <w:pPr>
              <w:widowControl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Шушин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И.В.</w:t>
            </w:r>
          </w:p>
        </w:tc>
      </w:tr>
    </w:tbl>
    <w:p w:rsidR="00855716" w:rsidRPr="006407A5" w:rsidRDefault="00855716" w:rsidP="0085571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АННОТАЦИЯ К </w:t>
      </w: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РАБОЧ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ЕЙ</w:t>
      </w: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ПРОГРАММ</w:t>
      </w: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</w:p>
    <w:p w:rsidR="00855716" w:rsidRPr="006407A5" w:rsidRDefault="00855716" w:rsidP="00855716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учебного предмета «Химия. Углубленный уровень»</w:t>
      </w:r>
    </w:p>
    <w:p w:rsidR="00855716" w:rsidRPr="006407A5" w:rsidRDefault="00855716" w:rsidP="00855716">
      <w:pPr>
        <w:spacing w:after="0" w:line="408" w:lineRule="exact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обучающихся 10 –11 классов </w:t>
      </w:r>
    </w:p>
    <w:p w:rsidR="00855716" w:rsidRPr="006407A5" w:rsidRDefault="00855716" w:rsidP="0085571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по программе работает: </w:t>
      </w:r>
    </w:p>
    <w:p w:rsidR="00855716" w:rsidRPr="006407A5" w:rsidRDefault="00855716" w:rsidP="00855716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Киселева А.А.</w:t>
      </w:r>
    </w:p>
    <w:p w:rsidR="00855716" w:rsidRPr="006407A5" w:rsidRDefault="00855716" w:rsidP="00855716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/>
        <w:ind w:left="120"/>
        <w:jc w:val="center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2" w:name="8b243c2b-d9e4-44f5-a2b5-32ebc85ef21c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п.</w:t>
      </w:r>
      <w:r w:rsidR="009D508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_GoBack"/>
      <w:bookmarkEnd w:id="3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ВНИИССОК </w:t>
      </w:r>
      <w:bookmarkEnd w:id="2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4" w:name="eff2ddcc-9031-468a-8fe5-d9757d0c08db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>4</w:t>
      </w:r>
    </w:p>
    <w:p w:rsidR="00855716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5716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5716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я(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855716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Свидетельством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тому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являются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следующие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выполняемые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программой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химии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функции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855716" w:rsidRPr="006407A5" w:rsidRDefault="00855716" w:rsidP="00855716">
      <w:pPr>
        <w:numPr>
          <w:ilvl w:val="0"/>
          <w:numId w:val="1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развития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средствами предмета, изучаемого в рамках конкретного профиля;</w:t>
      </w:r>
    </w:p>
    <w:p w:rsidR="00855716" w:rsidRPr="006407A5" w:rsidRDefault="00855716" w:rsidP="00855716">
      <w:pPr>
        <w:numPr>
          <w:ilvl w:val="0"/>
          <w:numId w:val="1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для углублённого изучения химии: </w:t>
      </w:r>
    </w:p>
    <w:p w:rsidR="00855716" w:rsidRPr="006407A5" w:rsidRDefault="00855716" w:rsidP="00855716">
      <w:pPr>
        <w:numPr>
          <w:ilvl w:val="0"/>
          <w:numId w:val="2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855716" w:rsidRPr="006407A5" w:rsidRDefault="00855716" w:rsidP="00855716">
      <w:pPr>
        <w:numPr>
          <w:ilvl w:val="0"/>
          <w:numId w:val="2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855716" w:rsidRPr="006407A5" w:rsidRDefault="00855716" w:rsidP="00855716">
      <w:pPr>
        <w:numPr>
          <w:ilvl w:val="0"/>
          <w:numId w:val="2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связей;</w:t>
      </w:r>
    </w:p>
    <w:p w:rsidR="00855716" w:rsidRPr="006407A5" w:rsidRDefault="00855716" w:rsidP="00855716">
      <w:pPr>
        <w:numPr>
          <w:ilvl w:val="0"/>
          <w:numId w:val="2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(личностных,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основного общего образования.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общеинтеллектуальных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надпредметный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квантовомеханических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ужат основой для изучения сущности процессов фотосинтеза, дыхания, пищеварения.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предметы», «Математика и информатика» и «Русский язык и литература».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также, как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855716" w:rsidRPr="006407A5" w:rsidRDefault="00855716" w:rsidP="00855716">
      <w:pPr>
        <w:numPr>
          <w:ilvl w:val="0"/>
          <w:numId w:val="3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855716" w:rsidRPr="006407A5" w:rsidRDefault="00855716" w:rsidP="00855716">
      <w:pPr>
        <w:numPr>
          <w:ilvl w:val="0"/>
          <w:numId w:val="3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855716" w:rsidRPr="006407A5" w:rsidRDefault="00855716" w:rsidP="00855716">
      <w:pPr>
        <w:numPr>
          <w:ilvl w:val="0"/>
          <w:numId w:val="3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осознанного понимания востребованности системных химических знаний для объяснения ключевых идей и проблем 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855716" w:rsidRPr="006407A5" w:rsidRDefault="00855716" w:rsidP="00855716">
      <w:pPr>
        <w:numPr>
          <w:ilvl w:val="0"/>
          <w:numId w:val="3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855716" w:rsidRPr="006407A5" w:rsidRDefault="00855716" w:rsidP="00855716">
      <w:pPr>
        <w:spacing w:after="0" w:line="264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855716" w:rsidRPr="006407A5" w:rsidRDefault="00855716" w:rsidP="00855716">
      <w:pPr>
        <w:numPr>
          <w:ilvl w:val="0"/>
          <w:numId w:val="4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855716" w:rsidRPr="006407A5" w:rsidRDefault="00855716" w:rsidP="00855716">
      <w:pPr>
        <w:numPr>
          <w:ilvl w:val="0"/>
          <w:numId w:val="4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855716" w:rsidRPr="006407A5" w:rsidRDefault="00855716" w:rsidP="00855716">
      <w:pPr>
        <w:numPr>
          <w:ilvl w:val="0"/>
          <w:numId w:val="4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855716" w:rsidRPr="006407A5" w:rsidRDefault="00855716" w:rsidP="00855716">
      <w:pPr>
        <w:numPr>
          <w:ilvl w:val="0"/>
          <w:numId w:val="4"/>
        </w:numPr>
        <w:spacing w:after="0" w:line="264" w:lineRule="exact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855716" w:rsidRPr="006407A5" w:rsidRDefault="00855716" w:rsidP="00855716">
      <w:pPr>
        <w:spacing w:after="0" w:line="264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5" w:name="a144c275-5dda-41db-8d94-37f2810a0979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5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55716" w:rsidRPr="006407A5" w:rsidRDefault="00855716" w:rsidP="00855716">
      <w:pPr>
        <w:spacing w:after="0" w:line="264" w:lineRule="exact"/>
        <w:jc w:val="both"/>
        <w:rPr>
          <w:color w:val="000000"/>
          <w:lang w:val="ru-RU"/>
        </w:rPr>
      </w:pPr>
    </w:p>
    <w:p w:rsidR="00855716" w:rsidRPr="006407A5" w:rsidRDefault="00855716" w:rsidP="0085571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855716" w:rsidRPr="006407A5" w:rsidRDefault="00855716" w:rsidP="00855716">
      <w:pPr>
        <w:spacing w:after="0" w:line="240" w:lineRule="auto"/>
        <w:jc w:val="both"/>
        <w:rPr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10 КЛАСС </w:t>
      </w:r>
    </w:p>
    <w:p w:rsidR="00855716" w:rsidRPr="006407A5" w:rsidRDefault="00855716" w:rsidP="00855716">
      <w:pPr>
        <w:spacing w:after="0" w:line="240" w:lineRule="auto"/>
        <w:jc w:val="both"/>
        <w:rPr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атомных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σ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π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нуклеофиле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электрофиле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индуктивный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эффекты).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>
        <w:rPr>
          <w:rFonts w:ascii="Times New Roman" w:hAnsi="Times New Roman"/>
          <w:color w:val="000000"/>
          <w:sz w:val="24"/>
          <w:szCs w:val="24"/>
        </w:rPr>
        <w:t>IUPAC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представителей.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и классификация органических реакций.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 в органической химии.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Углеводороды.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Алканы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3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σ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связь. Физические свойства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Химические свойства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Представление о механизме реакций радикального замещения.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Циклоалканы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циклобутан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 и обычных (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циклопентан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циклогексан)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Способы получения и применение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Алкены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vertAlign w:val="superscript"/>
          <w:lang w:val="ru-RU"/>
        </w:rPr>
        <w:t>2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углерода, </w:t>
      </w:r>
      <w:r>
        <w:rPr>
          <w:rFonts w:ascii="Times New Roman" w:hAnsi="Times New Roman"/>
          <w:color w:val="000000"/>
          <w:sz w:val="24"/>
          <w:szCs w:val="24"/>
        </w:rPr>
        <w:t>σ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π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связи. Структурная и геометрическая (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цис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-тран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) изомерия. Физические свойства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замещения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α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Алкадиены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Классификация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сопряжённые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изолированные, 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>кумулированные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Алкины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углерода. Физические свойства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димеризации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тримеризации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окисления. Кислотные свойства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имеющих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Ароматические углеводороды (арены). Гомологический ряд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аренов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амино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 и нитрогруппы, атомов галогенов. Особенности химических свой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риформинг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гидроксогруппу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нитрогруппу,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цианогруппу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дигалогеналканов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иодной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молекул углеводородов и галогенпроизводных углеводородов.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Простые эфиры, номенклатура и изомерия. Особенности физических и химических свойств.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Фенол. Строение молекулы, взаимное влияние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гидроксогруппы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бензольного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гидроксикарбоновых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>линолевая</w:t>
      </w:r>
      <w:proofErr w:type="spellEnd"/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>, линоленовая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Мыла́ как соли высших карбоновых кислот, их моющее действие.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углеводов. Классификация углеводов (мон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Физические свойства и нахождение в природе. Фотосинтез.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невосстанавливающие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гидроксидом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диамминсеребра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)), реакция глицерина с гидроксидом меди(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гидроксидом меди(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иодом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алифатические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алкилирование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алкиламмония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Аминокислоты. Номенклатура и изомерия. Отдельные представители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α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аминокислот: глицин,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.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изопреновый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) и силиконы. Резина.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Полимеры специального назначения (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тефлон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кевлар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электропроводящие полимеры,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биоразлагаемые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полимеры).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География: полезные ископаемые, топливо.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855716" w:rsidRPr="006407A5" w:rsidRDefault="00855716" w:rsidP="0085571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855716" w:rsidRPr="006407A5" w:rsidRDefault="00855716" w:rsidP="00855716">
      <w:pPr>
        <w:spacing w:after="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333333"/>
          <w:sz w:val="24"/>
          <w:szCs w:val="24"/>
          <w:lang w:val="ru-RU"/>
        </w:rPr>
        <w:t>ОБЩАЯ И НЕОРГАНИЧЕСКАЯ ХИМИЯ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Теоретические основы химии.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 Классификация химических элементов (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-элементы). Распределение электронов по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атомным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орбиталям</w:t>
      </w:r>
      <w:proofErr w:type="spellEnd"/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>.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нов.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Химическая связь. Виды химической связи: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ковалентная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лиганды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 Значение комплексных соединений. Понятие о координационной химии.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>
        <w:rPr>
          <w:rFonts w:ascii="Times New Roman" w:hAnsi="Times New Roman"/>
          <w:color w:val="000000"/>
          <w:sz w:val="24"/>
          <w:szCs w:val="24"/>
        </w:rPr>
        <w:t>pH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 раствора. Гидролиз солей. Реакц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ии ио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нного обмена.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Окислительно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Неорганическая химия.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Галогеноводороды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), оксид серы(</w:t>
      </w:r>
      <w:r>
        <w:rPr>
          <w:rFonts w:ascii="Times New Roman" w:hAnsi="Times New Roman"/>
          <w:color w:val="000000"/>
          <w:sz w:val="24"/>
          <w:szCs w:val="24"/>
        </w:rPr>
        <w:t>VI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фосфин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), оксид углерода(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графен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углеродные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нанотрубки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Применение простых веществ, образованных углеродом, и его соединений.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Кремний. Нахождение в природе, способы получения, физические и химические свойства. Оксид кремния(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4"/>
          <w:szCs w:val="24"/>
        </w:rPr>
        <w:t>IA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>
        <w:rPr>
          <w:rFonts w:ascii="Times New Roman" w:hAnsi="Times New Roman"/>
          <w:color w:val="000000"/>
          <w:sz w:val="24"/>
          <w:szCs w:val="24"/>
        </w:rPr>
        <w:t>IIA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Алюминий: получение, физические и химические свойства, применение простого вещества и его соединений. Амфотерные свойства оксида и гидроксида алюминия,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алюминия.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хрома и его соединений. Оксиды и гидроксиды хрома(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), хрома(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 и хрома(</w:t>
      </w:r>
      <w:r>
        <w:rPr>
          <w:rFonts w:ascii="Times New Roman" w:hAnsi="Times New Roman"/>
          <w:color w:val="000000"/>
          <w:sz w:val="24"/>
          <w:szCs w:val="24"/>
        </w:rPr>
        <w:t>VI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). Хроматы и дихроматы, их окислительные свойства. Получение и применение хрома.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марганца и его соединений. Важнейшие соединения марганца(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), марганца(</w:t>
      </w:r>
      <w:r>
        <w:rPr>
          <w:rFonts w:ascii="Times New Roman" w:hAnsi="Times New Roman"/>
          <w:color w:val="000000"/>
          <w:sz w:val="24"/>
          <w:szCs w:val="24"/>
        </w:rPr>
        <w:t>IV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), марганца(</w:t>
      </w:r>
      <w:r>
        <w:rPr>
          <w:rFonts w:ascii="Times New Roman" w:hAnsi="Times New Roman"/>
          <w:color w:val="000000"/>
          <w:sz w:val="24"/>
          <w:szCs w:val="24"/>
        </w:rPr>
        <w:t>VI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 и марганца(</w:t>
      </w:r>
      <w:r>
        <w:rPr>
          <w:rFonts w:ascii="Times New Roman" w:hAnsi="Times New Roman"/>
          <w:color w:val="000000"/>
          <w:sz w:val="24"/>
          <w:szCs w:val="24"/>
        </w:rPr>
        <w:t>VII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). Перманганат калия, его окислительные свойства.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железа и его соединений. Оксиды, гидроксиды и соли железа(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 и железа(</w:t>
      </w:r>
      <w:r>
        <w:rPr>
          <w:rFonts w:ascii="Times New Roman" w:hAnsi="Times New Roman"/>
          <w:color w:val="000000"/>
          <w:sz w:val="24"/>
          <w:szCs w:val="24"/>
        </w:rPr>
        <w:t>III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). Получение и применение железа и его сплавов.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Цинк: получение, физические и химические свойства. Амфотерные свойства оксида и гидроксида цинка,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цинка. Применение цинка и его соединений.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фосфор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их соединения», «Металлы главных подгрупп», «Металлы побочных подгрупп».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Химия и жизнь.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в строительстве: важнейшие строительные материалы (цемент, бетон).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Химия в сельском хозяйстве. Органические и минеральные удобрения.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Расчётные задачи.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выхода продукта реакции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теоретически возможного.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gramEnd"/>
    </w:p>
    <w:p w:rsidR="00855716" w:rsidRPr="006407A5" w:rsidRDefault="00855716" w:rsidP="00855716">
      <w:pPr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264" w:lineRule="exact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ПЛАНИРУЕМЫЕ РЕЗУЛЬТАТЫ ОСВОЕНИЯ ПРОГРАММЫ ПО ХИМИИ НА УГЛУБЛЕННОМ УРОВНЕ СРЕДНЕГО ОБЩЕГО ОБРАЗОВАНИЯ</w:t>
      </w:r>
    </w:p>
    <w:p w:rsidR="00855716" w:rsidRPr="006407A5" w:rsidRDefault="00855716" w:rsidP="00855716">
      <w:pPr>
        <w:spacing w:after="0" w:line="264" w:lineRule="exact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264" w:lineRule="exact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РЕЗУЛЬТАТЫ​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системно-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деятельностным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способность ставить цели и строить жизненные планы.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уважения к труду, людям труда и результатам трудовой деятельности;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экономических процессов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состояние природной и социальной среды;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855716" w:rsidRPr="006407A5" w:rsidRDefault="00855716" w:rsidP="00855716">
      <w:pPr>
        <w:spacing w:after="0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855716" w:rsidRPr="006407A5" w:rsidRDefault="00855716" w:rsidP="00855716">
      <w:pPr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Познавательные универсальные учебные действия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выбирать основания и критерии для классификации веществ и химических реакций;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познания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855716" w:rsidRPr="006407A5" w:rsidRDefault="00855716" w:rsidP="00855716">
      <w:pPr>
        <w:spacing w:after="0"/>
        <w:ind w:firstLine="600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855716" w:rsidRPr="006407A5" w:rsidRDefault="00855716" w:rsidP="00855716">
      <w:pPr>
        <w:spacing w:after="0"/>
        <w:ind w:firstLine="600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Коммуникативные универсальные учебные действия:</w:t>
      </w:r>
    </w:p>
    <w:p w:rsidR="00855716" w:rsidRPr="006407A5" w:rsidRDefault="00855716" w:rsidP="00855716">
      <w:pPr>
        <w:spacing w:after="0"/>
        <w:ind w:firstLine="600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Toc139840030"/>
      <w:bookmarkEnd w:id="6"/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программе по химии предметные результаты представлены по годам изучения.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, гомологи, углеводороды, кислоро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механизмах химических реакций, термодинамических и кинетических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закономерностях их протекания, о взаимном влиянии атомов и групп атомов в молекулах (индуктивный и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эффекты,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ориентанты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рода);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их взаимосвязь, использовать соответствующие понятия при описании состава, строения и свойств органических соединений;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уравнения химических реакций и раскрывать их сущность: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модели молекул органических веще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ств дл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я иллюстрации их химического и пространственного строения;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4"/>
          <w:szCs w:val="24"/>
        </w:rPr>
        <w:t>IUPAC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аланин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, мальтоза, фруктоза, анилин, дивинил, изопрен, хлоропрен, стирол и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другие);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>
        <w:rPr>
          <w:rFonts w:ascii="Times New Roman" w:hAnsi="Times New Roman"/>
          <w:color w:val="000000"/>
          <w:sz w:val="24"/>
          <w:szCs w:val="24"/>
        </w:rPr>
        <w:t>σ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π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связь, водородная связь);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алкинов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нитросоединений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аминов, аминокислот, белков, углеводов (мон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ди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>
        <w:rPr>
          <w:rFonts w:ascii="Times New Roman" w:hAnsi="Times New Roman"/>
          <w:color w:val="000000"/>
          <w:sz w:val="24"/>
          <w:szCs w:val="24"/>
        </w:rPr>
        <w:t>σ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π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связи), взаимного влияния атомов и групп атомов в молекулах;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применять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полученные знания для принятия грамотных решений проблем в ситуациях, связанных с химией;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и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их достоверность; 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4"/>
          <w:szCs w:val="24"/>
        </w:rPr>
        <w:t>IUPAC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 и тривиальные названия отдельных веществ;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-,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орбитали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», «основное и возбуждённое энергетические состояния атома»;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объяснять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раскрывать сущность: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окислительно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комплексообразования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(на примере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гидроксокомплексов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цинка и алюминия);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Ле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Шателье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ств в пр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материального единства мира;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оценивать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их достоверность;</w:t>
      </w:r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proofErr w:type="gram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855716" w:rsidRPr="006407A5" w:rsidRDefault="00855716" w:rsidP="00855716">
      <w:pPr>
        <w:spacing w:after="0" w:line="264" w:lineRule="exact"/>
        <w:ind w:firstLine="600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химическую информацию, перерабатывать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её и использовать</w:t>
      </w:r>
      <w:r w:rsidRPr="006407A5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6407A5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поставленной учебной задачей.</w:t>
      </w:r>
    </w:p>
    <w:p w:rsidR="004E4CB6" w:rsidRPr="00855716" w:rsidRDefault="004E4CB6">
      <w:pPr>
        <w:rPr>
          <w:lang w:val="ru-RU"/>
        </w:rPr>
      </w:pPr>
    </w:p>
    <w:sectPr w:rsidR="004E4CB6" w:rsidRPr="00855716" w:rsidSect="0085571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D4A87"/>
    <w:multiLevelType w:val="multilevel"/>
    <w:tmpl w:val="D4CAF94E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3B02AC2"/>
    <w:multiLevelType w:val="multilevel"/>
    <w:tmpl w:val="024EC564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821355C"/>
    <w:multiLevelType w:val="multilevel"/>
    <w:tmpl w:val="928A365C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78BB75CF"/>
    <w:multiLevelType w:val="multilevel"/>
    <w:tmpl w:val="C1A8E24A"/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508"/>
    <w:rsid w:val="002F0508"/>
    <w:rsid w:val="004E4CB6"/>
    <w:rsid w:val="00855716"/>
    <w:rsid w:val="009D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6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716"/>
    <w:pPr>
      <w:suppressAutoHyphens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9565</Words>
  <Characters>54527</Characters>
  <Application>Microsoft Office Word</Application>
  <DocSecurity>0</DocSecurity>
  <Lines>454</Lines>
  <Paragraphs>127</Paragraphs>
  <ScaleCrop>false</ScaleCrop>
  <Company/>
  <LinksUpToDate>false</LinksUpToDate>
  <CharactersWithSpaces>63965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Temicheva</dc:creator>
  <cp:keywords/>
  <dc:description/>
  <cp:lastModifiedBy>Temicheva</cp:lastModifiedBy>
  <cp:revision>4</cp:revision>
  <dcterms:created xsi:type="dcterms:W3CDTF">2024-07-28T16:24:00Z</dcterms:created>
  <dcterms:modified xsi:type="dcterms:W3CDTF">2024-07-28T16:27:00Z</dcterms:modified>
</cp:coreProperties>
</file>